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4F6352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8F472B">
      <w:pPr>
        <w:ind w:left="5670" w:right="354" w:hanging="377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4F6352">
        <w:rPr>
          <w:sz w:val="28"/>
          <w:lang w:val="uk-UA"/>
        </w:rPr>
        <w:t>29»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4F6352">
        <w:rPr>
          <w:sz w:val="28"/>
          <w:lang w:val="uk-UA"/>
        </w:rPr>
        <w:t>– 202</w:t>
      </w:r>
      <w:r w:rsidR="004F6352" w:rsidRPr="004F6352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4F6352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4F6352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61876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4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7, 8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AC644C">
              <w:rPr>
                <w:lang w:val="ru-RU"/>
              </w:rPr>
              <w:t>44 (1 семестр) / 46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AC644C">
              <w:rPr>
                <w:lang w:val="ru-RU"/>
              </w:rPr>
              <w:t>46</w:t>
            </w:r>
            <w:r w:rsidR="00730586" w:rsidRPr="00A61B7E">
              <w:rPr>
                <w:lang w:val="ru-RU"/>
              </w:rPr>
              <w:t xml:space="preserve"> (1 семестр) / </w:t>
            </w:r>
          </w:p>
          <w:p w:rsidR="006646B7" w:rsidRPr="00BF69B2" w:rsidRDefault="00AC644C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>44</w:t>
            </w:r>
            <w:r w:rsidR="00730586">
              <w:t xml:space="preserve"> (2 </w:t>
            </w:r>
            <w:proofErr w:type="spellStart"/>
            <w:r w:rsidR="00730586">
              <w:t>семестр</w:t>
            </w:r>
            <w:proofErr w:type="spellEnd"/>
            <w:r w:rsidR="00730586"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4F6352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F6352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французькою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8F472B">
              <w:t>,</w:t>
            </w:r>
            <w:r w:rsidR="00CE06CC">
              <w:t xml:space="preserve"> </w:t>
            </w:r>
            <w:proofErr w:type="spellStart"/>
            <w:r w:rsidR="008F472B">
              <w:t>художніх</w:t>
            </w:r>
            <w:proofErr w:type="spellEnd"/>
            <w:r w:rsidR="008F472B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CE06CC" w:rsidRPr="00CE06CC">
              <w:rPr>
                <w:lang w:val="ru-RU"/>
              </w:rPr>
              <w:t>французьку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4F6352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AE5092" w:rsidP="00B2699D">
            <w:pPr>
              <w:jc w:val="center"/>
              <w:rPr>
                <w:b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8F472B">
              <w:rPr>
                <w:b/>
                <w:sz w:val="24"/>
                <w:szCs w:val="24"/>
                <w:lang w:val="en-US"/>
              </w:rPr>
              <w:t>II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192B08" w:rsidRDefault="00B2699D" w:rsidP="008F472B">
            <w:pPr>
              <w:jc w:val="both"/>
              <w:rPr>
                <w:b/>
                <w:sz w:val="24"/>
                <w:lang w:val="de-DE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="008F472B" w:rsidRPr="00192B08">
              <w:rPr>
                <w:b/>
              </w:rPr>
              <w:t xml:space="preserve"> </w:t>
            </w:r>
            <w:r w:rsidR="008F472B" w:rsidRPr="00192B08">
              <w:rPr>
                <w:b/>
                <w:sz w:val="24"/>
              </w:rPr>
              <w:t>Т</w:t>
            </w:r>
            <w:proofErr w:type="spellStart"/>
            <w:r w:rsidR="008F472B" w:rsidRPr="00192B08">
              <w:rPr>
                <w:b/>
                <w:sz w:val="24"/>
                <w:lang w:val="de-DE"/>
              </w:rPr>
              <w:t>hème</w:t>
            </w:r>
            <w:proofErr w:type="spellEnd"/>
            <w:r w:rsidR="008F472B" w:rsidRPr="00192B08">
              <w:rPr>
                <w:b/>
                <w:sz w:val="24"/>
                <w:lang w:val="de-DE"/>
              </w:rPr>
              <w:t xml:space="preserve"> </w:t>
            </w:r>
            <w:r w:rsidR="008F472B" w:rsidRPr="00192B08">
              <w:rPr>
                <w:b/>
                <w:sz w:val="24"/>
              </w:rPr>
              <w:t xml:space="preserve">1: </w:t>
            </w:r>
            <w:proofErr w:type="spellStart"/>
            <w:r w:rsidR="008F472B" w:rsidRPr="00192B08">
              <w:rPr>
                <w:b/>
                <w:sz w:val="24"/>
              </w:rPr>
              <w:t>La</w:t>
            </w:r>
            <w:proofErr w:type="spellEnd"/>
            <w:r w:rsidR="008F472B" w:rsidRPr="00192B08">
              <w:rPr>
                <w:b/>
                <w:sz w:val="24"/>
              </w:rPr>
              <w:t xml:space="preserve"> </w:t>
            </w:r>
            <w:proofErr w:type="spellStart"/>
            <w:r w:rsidR="008F472B" w:rsidRPr="00192B08">
              <w:rPr>
                <w:b/>
                <w:sz w:val="24"/>
              </w:rPr>
              <w:t>diplomatie</w:t>
            </w:r>
            <w:proofErr w:type="spellEnd"/>
            <w:r w:rsidR="008F472B" w:rsidRPr="00192B08">
              <w:rPr>
                <w:b/>
                <w:sz w:val="24"/>
                <w:lang w:val="de-DE"/>
              </w:rPr>
              <w:t>.</w:t>
            </w:r>
          </w:p>
          <w:p w:rsidR="00B2699D" w:rsidRPr="00D00E8B" w:rsidRDefault="00B2699D" w:rsidP="008F47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B2699D" w:rsidRPr="00AC644C" w:rsidRDefault="008F472B" w:rsidP="00BB678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дипломатія, види дипломатії, професія дипломата, дипломатична місія, консульська служба, ООН.   </w:t>
            </w:r>
            <w:r w:rsidR="00AC644C">
              <w:rPr>
                <w:sz w:val="24"/>
                <w:lang w:val="uk-UA"/>
              </w:rPr>
              <w:t xml:space="preserve">Граматика: </w:t>
            </w:r>
            <w:proofErr w:type="spellStart"/>
            <w:r>
              <w:rPr>
                <w:sz w:val="24"/>
                <w:lang w:val="en-US"/>
              </w:rPr>
              <w:t>subjonctif</w:t>
            </w:r>
            <w:proofErr w:type="spellEnd"/>
            <w:r w:rsidRPr="00BB6780"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discours</w:t>
            </w:r>
            <w:proofErr w:type="spellEnd"/>
            <w:r w:rsidRPr="00BB67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indirect</w:t>
            </w:r>
            <w:r w:rsidR="00AC644C">
              <w:rPr>
                <w:sz w:val="24"/>
                <w:lang w:val="uk-UA"/>
              </w:rPr>
              <w:t xml:space="preserve">. </w:t>
            </w:r>
            <w:proofErr w:type="spellStart"/>
            <w:r w:rsidR="00AC644C">
              <w:rPr>
                <w:sz w:val="24"/>
                <w:lang w:val="uk-UA"/>
              </w:rPr>
              <w:t>Аудіальне</w:t>
            </w:r>
            <w:proofErr w:type="spellEnd"/>
            <w:r w:rsidR="00AC644C">
              <w:rPr>
                <w:sz w:val="24"/>
                <w:lang w:val="uk-UA"/>
              </w:rPr>
              <w:t xml:space="preserve"> розуміння і здатність вести монолог на тему: </w:t>
            </w:r>
            <w:r w:rsidR="00BB6780">
              <w:rPr>
                <w:sz w:val="24"/>
                <w:lang w:val="uk-UA"/>
              </w:rPr>
              <w:t>Визначення дипломатії, професія дипломата</w:t>
            </w:r>
            <w:r w:rsidR="0024420C">
              <w:rPr>
                <w:sz w:val="24"/>
                <w:lang w:val="uk-UA"/>
              </w:rPr>
              <w:t>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8F472B" w:rsidRDefault="00D00E8B" w:rsidP="008F472B">
            <w:pPr>
              <w:jc w:val="both"/>
              <w:rPr>
                <w:b/>
                <w:bCs/>
                <w:sz w:val="24"/>
                <w:lang w:val="fr-FR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 w:rsidR="008F472B" w:rsidRPr="008F472B">
              <w:rPr>
                <w:b/>
                <w:sz w:val="24"/>
                <w:lang w:val="fr-FR"/>
              </w:rPr>
              <w:t>Le français comme langue diplomatique</w:t>
            </w:r>
          </w:p>
          <w:p w:rsidR="00B2699D" w:rsidRPr="008F472B" w:rsidRDefault="00B2699D" w:rsidP="0024420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543" w:type="dxa"/>
          </w:tcPr>
          <w:p w:rsidR="00B2699D" w:rsidRPr="00BB6780" w:rsidRDefault="0024420C" w:rsidP="00BB67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Pr="0024420C">
              <w:rPr>
                <w:sz w:val="24"/>
              </w:rPr>
              <w:t xml:space="preserve"> </w:t>
            </w:r>
            <w:r w:rsidR="00BB6780">
              <w:rPr>
                <w:sz w:val="24"/>
                <w:lang w:val="uk-UA"/>
              </w:rPr>
              <w:t xml:space="preserve">мова дипломатії, переклад в роботі міжнародних організацій, роль перекладу та французької мови в процесі глобалізації. Граматика: </w:t>
            </w:r>
            <w:proofErr w:type="spellStart"/>
            <w:r w:rsidR="00BB6780">
              <w:rPr>
                <w:sz w:val="24"/>
                <w:lang w:val="en-US"/>
              </w:rPr>
              <w:t>adjectifs</w:t>
            </w:r>
            <w:proofErr w:type="spellEnd"/>
            <w:r w:rsidR="00BB6780" w:rsidRPr="00BB6780">
              <w:rPr>
                <w:sz w:val="24"/>
                <w:lang w:val="uk-UA"/>
              </w:rPr>
              <w:t xml:space="preserve"> </w:t>
            </w:r>
            <w:proofErr w:type="spellStart"/>
            <w:r w:rsidR="00BB6780">
              <w:rPr>
                <w:sz w:val="24"/>
                <w:lang w:val="en-US"/>
              </w:rPr>
              <w:t>ind</w:t>
            </w:r>
            <w:proofErr w:type="spellEnd"/>
            <w:r w:rsidR="00BB6780" w:rsidRPr="00BB6780">
              <w:rPr>
                <w:sz w:val="24"/>
                <w:lang w:val="uk-UA"/>
              </w:rPr>
              <w:t>é</w:t>
            </w:r>
            <w:r w:rsidR="00BB6780">
              <w:rPr>
                <w:sz w:val="24"/>
                <w:lang w:val="fr-FR"/>
              </w:rPr>
              <w:t>finis</w:t>
            </w:r>
            <w:r w:rsidR="00BB6780" w:rsidRPr="00BB6780">
              <w:rPr>
                <w:sz w:val="24"/>
                <w:lang w:val="uk-UA"/>
              </w:rPr>
              <w:t xml:space="preserve">;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infinitif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pr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>é</w:t>
            </w:r>
            <w:proofErr w:type="spellStart"/>
            <w:r w:rsidR="00BB6780" w:rsidRPr="00192B08">
              <w:rPr>
                <w:bCs/>
                <w:iCs/>
                <w:sz w:val="24"/>
              </w:rPr>
              <w:t>sent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;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infinitif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pass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é, </w:t>
            </w:r>
            <w:r w:rsidR="00BB6780">
              <w:rPr>
                <w:bCs/>
                <w:iCs/>
                <w:sz w:val="24"/>
                <w:lang w:val="fr-FR"/>
              </w:rPr>
              <w:t>g</w:t>
            </w:r>
            <w:r w:rsidR="00BB6780" w:rsidRPr="00BB6780">
              <w:rPr>
                <w:bCs/>
                <w:iCs/>
                <w:sz w:val="24"/>
                <w:lang w:val="uk-UA"/>
              </w:rPr>
              <w:t>é</w:t>
            </w:r>
            <w:proofErr w:type="spellStart"/>
            <w:r w:rsidR="00BB6780">
              <w:rPr>
                <w:bCs/>
                <w:iCs/>
                <w:sz w:val="24"/>
                <w:lang w:val="fr-FR"/>
              </w:rPr>
              <w:t>rondif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. </w:t>
            </w:r>
            <w:r w:rsidR="00BB6780" w:rsidRPr="00BB6780">
              <w:rPr>
                <w:sz w:val="24"/>
                <w:lang w:val="uk-UA"/>
              </w:rPr>
              <w:t xml:space="preserve"> </w:t>
            </w:r>
            <w:proofErr w:type="spellStart"/>
            <w:r w:rsidR="00BB6780">
              <w:rPr>
                <w:sz w:val="24"/>
                <w:lang w:val="uk-UA"/>
              </w:rPr>
              <w:t>Аудіальне</w:t>
            </w:r>
            <w:proofErr w:type="spellEnd"/>
            <w:r w:rsidR="00BB6780"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="00BB6780" w:rsidRPr="00761876">
              <w:rPr>
                <w:sz w:val="24"/>
                <w:lang w:val="uk-UA"/>
              </w:rPr>
              <w:t xml:space="preserve"> </w:t>
            </w:r>
            <w:r w:rsidR="00BB6780">
              <w:rPr>
                <w:sz w:val="24"/>
                <w:lang w:val="uk-UA"/>
              </w:rPr>
              <w:t>Роль французької мови у світі.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BB6780" w:rsidTr="00A53FF9">
        <w:tc>
          <w:tcPr>
            <w:tcW w:w="9571" w:type="dxa"/>
            <w:gridSpan w:val="4"/>
          </w:tcPr>
          <w:p w:rsidR="00BB6780" w:rsidRPr="006D685C" w:rsidRDefault="00BB6780" w:rsidP="00BB6780">
            <w:pPr>
              <w:pStyle w:val="TableParagraph"/>
              <w:tabs>
                <w:tab w:val="left" w:pos="6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D685C">
              <w:rPr>
                <w:b/>
                <w:sz w:val="24"/>
                <w:szCs w:val="24"/>
              </w:rPr>
              <w:t xml:space="preserve">VIII </w:t>
            </w:r>
            <w:r w:rsidRPr="006D685C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6D685C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6D685C" w:rsidP="0024420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</w:t>
            </w:r>
            <w:r w:rsidR="00ED2043" w:rsidRPr="00D00E8B">
              <w:rPr>
                <w:b/>
                <w:sz w:val="24"/>
                <w:szCs w:val="24"/>
                <w:lang w:val="uk-UA"/>
              </w:rPr>
              <w:t>.</w:t>
            </w:r>
            <w:r w:rsidR="00ED2043" w:rsidRPr="00D00E8B">
              <w:rPr>
                <w:sz w:val="24"/>
                <w:szCs w:val="24"/>
                <w:lang w:val="uk-UA"/>
              </w:rPr>
              <w:t xml:space="preserve"> </w:t>
            </w:r>
            <w:r w:rsidR="00BB6780" w:rsidRPr="000345F3">
              <w:rPr>
                <w:b/>
                <w:sz w:val="24"/>
              </w:rPr>
              <w:t xml:space="preserve">: </w:t>
            </w:r>
            <w:proofErr w:type="spellStart"/>
            <w:r w:rsidR="00BB6780" w:rsidRPr="000345F3">
              <w:rPr>
                <w:b/>
                <w:sz w:val="24"/>
              </w:rPr>
              <w:t>La</w:t>
            </w:r>
            <w:proofErr w:type="spellEnd"/>
            <w:r w:rsidR="00BB6780" w:rsidRPr="000345F3">
              <w:rPr>
                <w:b/>
                <w:sz w:val="24"/>
              </w:rPr>
              <w:t xml:space="preserve"> </w:t>
            </w:r>
            <w:proofErr w:type="spellStart"/>
            <w:r w:rsidR="00BB6780" w:rsidRPr="000345F3">
              <w:rPr>
                <w:b/>
                <w:sz w:val="24"/>
              </w:rPr>
              <w:t>France</w:t>
            </w:r>
            <w:proofErr w:type="spellEnd"/>
          </w:p>
        </w:tc>
        <w:tc>
          <w:tcPr>
            <w:tcW w:w="3543" w:type="dxa"/>
          </w:tcPr>
          <w:p w:rsidR="0024420C" w:rsidRPr="00761876" w:rsidRDefault="0024420C" w:rsidP="0024420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="00BB6780">
              <w:rPr>
                <w:sz w:val="24"/>
                <w:lang w:val="uk-UA"/>
              </w:rPr>
              <w:t xml:space="preserve"> Географічне розташування Франції, Париж – столиця Франції</w:t>
            </w:r>
            <w:r w:rsidR="006D685C">
              <w:rPr>
                <w:sz w:val="24"/>
                <w:lang w:val="uk-UA"/>
              </w:rPr>
              <w:t xml:space="preserve">, політична система Франції, Франція – країна дипломатії, країни франкофонії. Граматика: </w:t>
            </w:r>
            <w:proofErr w:type="spellStart"/>
            <w:r w:rsidR="006D685C">
              <w:rPr>
                <w:sz w:val="24"/>
                <w:lang w:val="en-US"/>
              </w:rPr>
              <w:t>Conditionnel</w:t>
            </w:r>
            <w:proofErr w:type="spellEnd"/>
            <w:r w:rsidR="006D685C" w:rsidRPr="00761876">
              <w:rPr>
                <w:sz w:val="24"/>
                <w:lang w:val="uk-UA"/>
              </w:rPr>
              <w:t xml:space="preserve"> </w:t>
            </w:r>
            <w:proofErr w:type="spellStart"/>
            <w:r w:rsidR="006D685C">
              <w:rPr>
                <w:sz w:val="24"/>
                <w:lang w:val="en-US"/>
              </w:rPr>
              <w:t>pr</w:t>
            </w:r>
            <w:proofErr w:type="spellEnd"/>
            <w:r w:rsidR="006D685C" w:rsidRPr="00761876">
              <w:rPr>
                <w:sz w:val="24"/>
                <w:lang w:val="uk-UA"/>
              </w:rPr>
              <w:t>é</w:t>
            </w:r>
            <w:r w:rsidR="006D685C">
              <w:rPr>
                <w:sz w:val="24"/>
                <w:lang w:val="fr-FR"/>
              </w:rPr>
              <w:t>sent</w:t>
            </w:r>
            <w:r w:rsidR="006D685C" w:rsidRPr="00761876">
              <w:rPr>
                <w:sz w:val="24"/>
                <w:lang w:val="uk-UA"/>
              </w:rPr>
              <w:t>.</w:t>
            </w:r>
          </w:p>
          <w:p w:rsidR="00ED2043" w:rsidRPr="00761876" w:rsidRDefault="006D685C" w:rsidP="006D685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Pr="0076187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Франція, місце у світі; Париж – столиця Франції.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6D685C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6D685C" w:rsidRDefault="006D685C" w:rsidP="006D685C">
            <w:pPr>
              <w:rPr>
                <w:lang w:val="fr-FR"/>
              </w:rPr>
            </w:pPr>
            <w:r>
              <w:rPr>
                <w:b/>
                <w:szCs w:val="28"/>
                <w:lang w:val="uk-UA"/>
              </w:rPr>
              <w:t>Тема 2</w:t>
            </w:r>
            <w:r w:rsidR="00ED2043" w:rsidRPr="006C3477">
              <w:rPr>
                <w:b/>
                <w:szCs w:val="28"/>
                <w:lang w:val="uk-UA"/>
              </w:rPr>
              <w:t>.</w:t>
            </w:r>
            <w:r w:rsidR="00ED2043" w:rsidRPr="006C3477">
              <w:rPr>
                <w:szCs w:val="28"/>
                <w:lang w:val="uk-UA"/>
              </w:rPr>
              <w:t xml:space="preserve"> </w:t>
            </w:r>
            <w:r w:rsidRPr="006D685C">
              <w:rPr>
                <w:b/>
                <w:sz w:val="24"/>
                <w:lang w:val="fr-FR"/>
              </w:rPr>
              <w:t>L’Ukraine</w:t>
            </w:r>
          </w:p>
        </w:tc>
        <w:tc>
          <w:tcPr>
            <w:tcW w:w="3543" w:type="dxa"/>
          </w:tcPr>
          <w:p w:rsidR="00ED2043" w:rsidRPr="006D685C" w:rsidRDefault="00AE5092" w:rsidP="006D685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lang w:val="uk-UA"/>
              </w:rPr>
              <w:t>Засвоєння лексики на тему</w:t>
            </w:r>
            <w:r w:rsidRPr="006D685C">
              <w:rPr>
                <w:sz w:val="24"/>
                <w:szCs w:val="24"/>
                <w:lang w:val="fr-FR"/>
              </w:rPr>
              <w:t xml:space="preserve">: </w:t>
            </w:r>
            <w:r w:rsidR="006D685C">
              <w:rPr>
                <w:sz w:val="24"/>
                <w:szCs w:val="24"/>
                <w:lang w:val="uk-UA"/>
              </w:rPr>
              <w:t xml:space="preserve">Україна, географічне розташування, політична система, події останніх років; Київ – столиця України, дипломатичні відносини Франції та України. Граматика: </w:t>
            </w:r>
            <w:r w:rsidR="006D685C" w:rsidRPr="00846306">
              <w:rPr>
                <w:sz w:val="24"/>
                <w:lang w:val="fr-FR"/>
              </w:rPr>
              <w:t>concordance des temps: plus-que-parfait; futur dans le passé</w:t>
            </w:r>
            <w:r w:rsidR="006D685C">
              <w:rPr>
                <w:sz w:val="24"/>
                <w:lang w:val="uk-UA"/>
              </w:rPr>
              <w:t xml:space="preserve">, </w:t>
            </w:r>
            <w:r w:rsidR="006D685C" w:rsidRPr="006D685C">
              <w:rPr>
                <w:sz w:val="24"/>
                <w:lang w:val="fr-FR"/>
              </w:rPr>
              <w:t>Conditionnel passé</w:t>
            </w:r>
          </w:p>
          <w:p w:rsidR="006D685C" w:rsidRPr="006D685C" w:rsidRDefault="006D685C" w:rsidP="006D685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Pr="00BB678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Україна, </w:t>
            </w:r>
            <w:r>
              <w:rPr>
                <w:sz w:val="24"/>
                <w:lang w:val="uk-UA"/>
              </w:rPr>
              <w:lastRenderedPageBreak/>
              <w:t>місце в світі.</w:t>
            </w:r>
            <w:r>
              <w:rPr>
                <w:sz w:val="24"/>
                <w:szCs w:val="24"/>
                <w:lang w:val="uk-UA"/>
              </w:rPr>
              <w:t xml:space="preserve"> Дипломатичні відносини між Францією та Україною.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 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AE5092" w:rsidRPr="00ED2043">
              <w:rPr>
                <w:b/>
                <w:sz w:val="24"/>
                <w:szCs w:val="24"/>
              </w:rPr>
              <w:t>I</w:t>
            </w:r>
            <w:r w:rsidRPr="00ED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Default="005318CB" w:rsidP="005318CB">
      <w:pPr>
        <w:pStyle w:val="ab"/>
        <w:rPr>
          <w:b/>
          <w:sz w:val="30"/>
          <w:lang w:val="uk-UA"/>
        </w:rPr>
      </w:pPr>
    </w:p>
    <w:p w:rsidR="00BD5960" w:rsidRDefault="00BD5960" w:rsidP="005318CB">
      <w:pPr>
        <w:pStyle w:val="ab"/>
        <w:rPr>
          <w:b/>
          <w:sz w:val="30"/>
          <w:lang w:val="uk-UA"/>
        </w:rPr>
      </w:pPr>
    </w:p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485"/>
        <w:gridCol w:w="1985"/>
        <w:gridCol w:w="1760"/>
        <w:gridCol w:w="1358"/>
        <w:gridCol w:w="1560"/>
      </w:tblGrid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</w:t>
            </w:r>
            <w:r w:rsidR="001E38A8">
              <w:t>І</w:t>
            </w:r>
            <w:r>
              <w:t xml:space="preserve"> семестр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 w:rsidRPr="00775E02">
              <w:rPr>
                <w:b/>
                <w:sz w:val="22"/>
                <w:szCs w:val="22"/>
              </w:rPr>
              <w:t>Підсумок</w:t>
            </w:r>
          </w:p>
        </w:tc>
      </w:tr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278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1E38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395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spacing w:line="256" w:lineRule="auto"/>
              <w:rPr>
                <w:lang w:eastAsia="en-US"/>
              </w:rPr>
            </w:pPr>
          </w:p>
        </w:tc>
      </w:tr>
      <w:tr w:rsidR="001E38A8" w:rsidTr="001E38A8">
        <w:trPr>
          <w:trHeight w:val="5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842"/>
        <w:gridCol w:w="1701"/>
        <w:gridCol w:w="860"/>
        <w:gridCol w:w="917"/>
        <w:gridCol w:w="917"/>
      </w:tblGrid>
      <w:tr w:rsidR="006D685C" w:rsidTr="00EC7656"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ІІІ</w:t>
            </w:r>
            <w:r>
              <w:t xml:space="preserve"> семестр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Pr="00BD5960" w:rsidRDefault="006D685C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6D685C" w:rsidTr="00EC7656">
        <w:trPr>
          <w:trHeight w:val="275"/>
        </w:trPr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6D685C" w:rsidTr="00EC7656">
        <w:trPr>
          <w:trHeight w:val="27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Pr="00775E02" w:rsidRDefault="006D685C" w:rsidP="00EC7656">
            <w:pPr>
              <w:jc w:val="center"/>
              <w:rPr>
                <w:lang w:val="uk-UA"/>
              </w:rPr>
            </w:pPr>
            <w:proofErr w:type="spellStart"/>
            <w:r w:rsidRPr="00775E02">
              <w:rPr>
                <w:sz w:val="26"/>
                <w:szCs w:val="26"/>
              </w:rPr>
              <w:t>С.р</w:t>
            </w:r>
            <w:proofErr w:type="spellEnd"/>
            <w:r w:rsidRPr="00775E02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331BBA" w:rsidTr="00020741">
        <w:trPr>
          <w:trHeight w:val="47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31BBA" w:rsidTr="0029678D">
        <w:trPr>
          <w:trHeight w:val="4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lastRenderedPageBreak/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4F6352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4F6352" w:rsidTr="009C53CC">
        <w:tc>
          <w:tcPr>
            <w:tcW w:w="9571" w:type="dxa"/>
            <w:gridSpan w:val="2"/>
          </w:tcPr>
          <w:p w:rsidR="00044736" w:rsidRPr="004F17D7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4F17D7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Слатинська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О.М. Французька мова для дипломатії. Практикум для студентів факультету історії, політології та міжнародних відносин [Текст].-Ів.-Франківськ: Фоліант, 2012 .-79 с.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 2009.–193.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 2002 .-428 с.</w:t>
            </w:r>
          </w:p>
          <w:p w:rsidR="00044736" w:rsidRPr="004F17D7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Default="009C53CC" w:rsidP="004F635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 МОН .-Ів.-Франківськ:</w:t>
            </w:r>
            <w:r w:rsid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Тіповіт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</w:t>
            </w:r>
            <w:r w:rsid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uk-UA"/>
              </w:rPr>
              <w:t>2012 .-283 с.</w:t>
            </w:r>
          </w:p>
          <w:p w:rsidR="004F6352" w:rsidRPr="004F6352" w:rsidRDefault="004F6352" w:rsidP="004F6352">
            <w:pPr>
              <w:pStyle w:val="a6"/>
              <w:numPr>
                <w:ilvl w:val="0"/>
                <w:numId w:val="17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4F6352">
              <w:rPr>
                <w:bCs/>
              </w:rPr>
              <w:t xml:space="preserve">Серман Л.І. </w:t>
            </w:r>
            <w:proofErr w:type="spellStart"/>
            <w:r w:rsidRPr="004F6352">
              <w:rPr>
                <w:bCs/>
              </w:rPr>
              <w:t>Граматичний</w:t>
            </w:r>
            <w:proofErr w:type="spellEnd"/>
            <w:r w:rsidRPr="004F6352">
              <w:rPr>
                <w:bCs/>
              </w:rPr>
              <w:t xml:space="preserve"> практикум з </w:t>
            </w:r>
            <w:proofErr w:type="spellStart"/>
            <w:r w:rsidRPr="004F6352">
              <w:rPr>
                <w:bCs/>
              </w:rPr>
              <w:t>французької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мови</w:t>
            </w:r>
            <w:proofErr w:type="spellEnd"/>
            <w:r w:rsidRPr="004F6352">
              <w:rPr>
                <w:bCs/>
              </w:rPr>
              <w:t xml:space="preserve">. </w:t>
            </w:r>
            <w:proofErr w:type="spellStart"/>
            <w:r w:rsidRPr="004F6352">
              <w:rPr>
                <w:bCs/>
              </w:rPr>
              <w:t>Навчально-методичні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рекомендації</w:t>
            </w:r>
            <w:proofErr w:type="spellEnd"/>
            <w:r w:rsidRPr="004F6352">
              <w:rPr>
                <w:bCs/>
              </w:rPr>
              <w:t xml:space="preserve">.  </w:t>
            </w:r>
            <w:r>
              <w:sym w:font="Symbol" w:char="F02D"/>
            </w:r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Івано-Франківськ</w:t>
            </w:r>
            <w:proofErr w:type="spellEnd"/>
            <w:r w:rsidRPr="004F6352">
              <w:rPr>
                <w:bCs/>
              </w:rPr>
              <w:t xml:space="preserve">: 2022, 72 с. </w:t>
            </w:r>
            <w:r w:rsidRPr="004F6352">
              <w:rPr>
                <w:bCs/>
                <w:lang w:val="en-US"/>
              </w:rPr>
              <w:t>URL</w:t>
            </w:r>
            <w:r w:rsidRPr="004F6352">
              <w:rPr>
                <w:bCs/>
              </w:rPr>
              <w:t xml:space="preserve">: </w:t>
            </w:r>
            <w:hyperlink r:id="rId10" w:history="1">
              <w:r w:rsidRPr="004F6352">
                <w:rPr>
                  <w:rStyle w:val="aa"/>
                  <w:bCs/>
                </w:rPr>
                <w:t>https://drive.google.com/drive/u/0/folders/1k4N3F426rk48sNx1zEHg3KPjrGKXZkAK</w:t>
              </w:r>
            </w:hyperlink>
          </w:p>
          <w:p w:rsidR="004F6352" w:rsidRPr="004F6352" w:rsidRDefault="004F6352" w:rsidP="004F6352">
            <w:pPr>
              <w:pStyle w:val="a6"/>
              <w:numPr>
                <w:ilvl w:val="0"/>
                <w:numId w:val="17"/>
              </w:numPr>
              <w:spacing w:line="276" w:lineRule="auto"/>
              <w:jc w:val="both"/>
              <w:rPr>
                <w:bCs/>
                <w:lang w:val="en-US"/>
              </w:rPr>
            </w:pPr>
            <w:r w:rsidRPr="004F6352">
              <w:rPr>
                <w:bCs/>
              </w:rPr>
              <w:lastRenderedPageBreak/>
              <w:t xml:space="preserve">Серман Л.І. </w:t>
            </w:r>
            <w:proofErr w:type="spellStart"/>
            <w:r w:rsidRPr="004F6352">
              <w:rPr>
                <w:bCs/>
              </w:rPr>
              <w:t>Основи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формування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професійного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іміджу</w:t>
            </w:r>
            <w:proofErr w:type="spellEnd"/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перекладача</w:t>
            </w:r>
            <w:proofErr w:type="spellEnd"/>
            <w:r w:rsidRPr="004F6352">
              <w:rPr>
                <w:bCs/>
              </w:rPr>
              <w:t xml:space="preserve">. </w:t>
            </w:r>
            <w:proofErr w:type="spellStart"/>
            <w:r w:rsidRPr="004F6352">
              <w:t>Навчально-методичні</w:t>
            </w:r>
            <w:proofErr w:type="spellEnd"/>
            <w:r w:rsidRPr="004F6352">
              <w:t xml:space="preserve"> </w:t>
            </w:r>
            <w:proofErr w:type="spellStart"/>
            <w:r w:rsidRPr="004F6352">
              <w:t>рекомендації</w:t>
            </w:r>
            <w:proofErr w:type="spellEnd"/>
            <w:r w:rsidRPr="004F6352">
              <w:t>.</w:t>
            </w:r>
            <w:r w:rsidRPr="004F6352">
              <w:rPr>
                <w:bCs/>
              </w:rPr>
              <w:t xml:space="preserve">  </w:t>
            </w:r>
            <w:r>
              <w:sym w:font="Symbol" w:char="F02D"/>
            </w:r>
            <w:r w:rsidRPr="004F6352">
              <w:rPr>
                <w:bCs/>
              </w:rPr>
              <w:t xml:space="preserve"> </w:t>
            </w:r>
            <w:proofErr w:type="spellStart"/>
            <w:r w:rsidRPr="004F6352">
              <w:rPr>
                <w:bCs/>
              </w:rPr>
              <w:t>Івано-Франківськ</w:t>
            </w:r>
            <w:proofErr w:type="spellEnd"/>
            <w:r w:rsidRPr="004F6352">
              <w:rPr>
                <w:bCs/>
              </w:rPr>
              <w:t xml:space="preserve">: 2022. </w:t>
            </w:r>
            <w:r>
              <w:sym w:font="Symbol" w:char="F02D"/>
            </w:r>
            <w:r w:rsidRPr="004F6352">
              <w:rPr>
                <w:bCs/>
              </w:rPr>
              <w:t xml:space="preserve"> 71 с.</w:t>
            </w:r>
            <w:r w:rsidRPr="004F6352">
              <w:rPr>
                <w:bCs/>
                <w:lang w:val="en-US"/>
              </w:rPr>
              <w:t xml:space="preserve"> </w:t>
            </w:r>
            <w:hyperlink r:id="rId11" w:history="1">
              <w:r w:rsidRPr="004F6352">
                <w:rPr>
                  <w:rStyle w:val="aa"/>
                  <w:bCs/>
                  <w:lang w:val="en-US"/>
                </w:rPr>
                <w:t>https://drive.google.com/drive/u/0/folders/1k4N3F426rk48sNx1zEHg3KPjrGKXZkAK</w:t>
              </w:r>
            </w:hyperlink>
          </w:p>
          <w:p w:rsidR="009C53CC" w:rsidRPr="004F17D7" w:rsidRDefault="009C53CC" w:rsidP="004F635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761876" w:rsidRPr="004F17D7" w:rsidRDefault="00761876" w:rsidP="004F635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</w:rPr>
              <w:t>Уділова</w:t>
            </w:r>
            <w:proofErr w:type="spellEnd"/>
            <w:r w:rsidRPr="004F17D7">
              <w:rPr>
                <w:sz w:val="24"/>
                <w:szCs w:val="24"/>
              </w:rPr>
              <w:t xml:space="preserve"> Т.М. </w:t>
            </w:r>
            <w:proofErr w:type="spellStart"/>
            <w:r w:rsidRPr="004F17D7">
              <w:rPr>
                <w:sz w:val="24"/>
                <w:szCs w:val="24"/>
              </w:rPr>
              <w:t>Граматика</w:t>
            </w:r>
            <w:proofErr w:type="spellEnd"/>
            <w:r w:rsidRPr="004F17D7">
              <w:rPr>
                <w:sz w:val="24"/>
                <w:szCs w:val="24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</w:rPr>
              <w:t>французької</w:t>
            </w:r>
            <w:proofErr w:type="spellEnd"/>
            <w:r w:rsidRPr="004F17D7">
              <w:rPr>
                <w:sz w:val="24"/>
                <w:szCs w:val="24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</w:rPr>
              <w:t>мови</w:t>
            </w:r>
            <w:proofErr w:type="spellEnd"/>
            <w:r w:rsidRPr="004F17D7">
              <w:rPr>
                <w:sz w:val="24"/>
                <w:szCs w:val="24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</w:rPr>
              <w:t>Вправи</w:t>
            </w:r>
            <w:proofErr w:type="spellEnd"/>
            <w:r w:rsidRPr="004F17D7">
              <w:rPr>
                <w:sz w:val="24"/>
                <w:szCs w:val="24"/>
              </w:rPr>
              <w:t xml:space="preserve">. - </w:t>
            </w:r>
            <w:proofErr w:type="spellStart"/>
            <w:r w:rsidRPr="004F17D7">
              <w:rPr>
                <w:sz w:val="24"/>
                <w:szCs w:val="24"/>
              </w:rPr>
              <w:t>Вінниця</w:t>
            </w:r>
            <w:proofErr w:type="spellEnd"/>
            <w:r w:rsidRPr="004F17D7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4F17D7" w:rsidRDefault="009C53CC" w:rsidP="004F635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r w:rsidRPr="004F17D7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4F17D7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4F17D7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.-Paris,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2000 .-191 </w:t>
            </w:r>
            <w:r w:rsidRPr="004F17D7">
              <w:rPr>
                <w:sz w:val="24"/>
                <w:szCs w:val="24"/>
              </w:rPr>
              <w:t>с</w:t>
            </w:r>
            <w:r w:rsidRPr="004F17D7">
              <w:rPr>
                <w:sz w:val="24"/>
                <w:szCs w:val="24"/>
                <w:lang w:val="fr-FR"/>
              </w:rPr>
              <w:t>.</w:t>
            </w:r>
          </w:p>
          <w:p w:rsidR="009C53CC" w:rsidRPr="004F17D7" w:rsidRDefault="009C53CC" w:rsidP="004F635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4F17D7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G.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4F17D7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4F17D7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>,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2001 .-158 </w:t>
            </w:r>
            <w:r w:rsidRPr="004F17D7">
              <w:rPr>
                <w:sz w:val="24"/>
                <w:szCs w:val="24"/>
              </w:rPr>
              <w:t>с</w:t>
            </w:r>
            <w:r w:rsidRPr="004F17D7">
              <w:rPr>
                <w:sz w:val="24"/>
                <w:szCs w:val="24"/>
                <w:lang w:val="fr-FR"/>
              </w:rPr>
              <w:t>.</w:t>
            </w:r>
          </w:p>
          <w:p w:rsidR="009C53CC" w:rsidRPr="004F17D7" w:rsidRDefault="009C53CC" w:rsidP="004F6352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  <w:lang w:val="fr-FR"/>
              </w:rPr>
            </w:pPr>
            <w:r w:rsidRPr="004F17D7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4F17D7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4F17D7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Pr="004F17D7" w:rsidRDefault="009C53CC" w:rsidP="009C53CC">
            <w:pPr>
              <w:pStyle w:val="a6"/>
              <w:ind w:left="644"/>
              <w:rPr>
                <w:sz w:val="24"/>
                <w:szCs w:val="24"/>
                <w:lang w:val="fr-FR"/>
              </w:rPr>
            </w:pPr>
          </w:p>
          <w:p w:rsidR="000837FD" w:rsidRPr="004F17D7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4F17D7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2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3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4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5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6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7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8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9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4F17D7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4F17D7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4F17D7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17D7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4F17D7" w:rsidRDefault="004F6352" w:rsidP="00044736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hyperlink r:id="rId20" w:history="1"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https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://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d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-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learn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pnu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edu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ua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/</w:t>
              </w:r>
            </w:hyperlink>
            <w:r w:rsidR="000837FD" w:rsidRPr="004F17D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4F17D7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11"/>
        <w:gridCol w:w="35"/>
      </w:tblGrid>
      <w:tr w:rsidR="00005994" w:rsidRPr="004F635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21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4F635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4F6352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5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408CD" w:rsidTr="004F17D7">
        <w:tc>
          <w:tcPr>
            <w:tcW w:w="9606" w:type="dxa"/>
            <w:gridSpan w:val="3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6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9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30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</w:t>
            </w:r>
            <w:r w:rsidRPr="00161248">
              <w:rPr>
                <w:sz w:val="24"/>
                <w:szCs w:val="24"/>
                <w:lang w:val="uk-UA"/>
              </w:rPr>
              <w:lastRenderedPageBreak/>
              <w:t xml:space="preserve">регламентується </w:t>
            </w:r>
            <w:hyperlink r:id="rId31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95013" w:rsidRDefault="004F17D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7EFA"/>
    <w:multiLevelType w:val="hybridMultilevel"/>
    <w:tmpl w:val="F618C04E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837786C"/>
    <w:multiLevelType w:val="hybridMultilevel"/>
    <w:tmpl w:val="F13C4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F618C04E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712CCA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55AF"/>
    <w:rsid w:val="00240B07"/>
    <w:rsid w:val="0024284A"/>
    <w:rsid w:val="0024420C"/>
    <w:rsid w:val="00254871"/>
    <w:rsid w:val="00277A56"/>
    <w:rsid w:val="002950C2"/>
    <w:rsid w:val="002A74EA"/>
    <w:rsid w:val="002C2330"/>
    <w:rsid w:val="002F0191"/>
    <w:rsid w:val="00326DD5"/>
    <w:rsid w:val="00331BBA"/>
    <w:rsid w:val="00335A19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17D7"/>
    <w:rsid w:val="004F6352"/>
    <w:rsid w:val="004F7AFF"/>
    <w:rsid w:val="005318CB"/>
    <w:rsid w:val="00562F61"/>
    <w:rsid w:val="00606453"/>
    <w:rsid w:val="00654CF9"/>
    <w:rsid w:val="006646B7"/>
    <w:rsid w:val="006A14B2"/>
    <w:rsid w:val="006D58DE"/>
    <w:rsid w:val="006D685C"/>
    <w:rsid w:val="006E4126"/>
    <w:rsid w:val="007022C3"/>
    <w:rsid w:val="00703938"/>
    <w:rsid w:val="0071139A"/>
    <w:rsid w:val="00730586"/>
    <w:rsid w:val="00761876"/>
    <w:rsid w:val="00775E02"/>
    <w:rsid w:val="00784AB3"/>
    <w:rsid w:val="007A6935"/>
    <w:rsid w:val="007B3D67"/>
    <w:rsid w:val="00811B46"/>
    <w:rsid w:val="0088347C"/>
    <w:rsid w:val="008A1B87"/>
    <w:rsid w:val="008F472B"/>
    <w:rsid w:val="0091141A"/>
    <w:rsid w:val="009506C9"/>
    <w:rsid w:val="00951186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6780"/>
    <w:rsid w:val="00BB7E5E"/>
    <w:rsid w:val="00BC16C9"/>
    <w:rsid w:val="00BC32A7"/>
    <w:rsid w:val="00BD5960"/>
    <w:rsid w:val="00BD6FFD"/>
    <w:rsid w:val="00BE2FBA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1CD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mip.pnu.edu.ua/" TargetMode="External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kmu.gov.ua/" TargetMode="External"/><Relationship Id="rId17" Type="http://schemas.openxmlformats.org/officeDocument/2006/relationships/hyperlink" Target="http://lib.pnu.edu.ua/" TargetMode="External"/><Relationship Id="rId25" Type="http://schemas.openxmlformats.org/officeDocument/2006/relationships/hyperlink" Target="mailto:lesia.serman@pnu.edu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fa.gov.ua/" TargetMode="External"/><Relationship Id="rId20" Type="http://schemas.openxmlformats.org/officeDocument/2006/relationships/hyperlink" Target="https://d-learn.pnu.edu.ua/" TargetMode="External"/><Relationship Id="rId29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drive/u/0/folders/1k4N3F426rk48sNx1zEHg3KPjrGKXZkAK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mu.gov.ua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drive.google.com/drive/u/0/folders/1k4N3F426rk48sNx1zEHg3KPjrGKXZkAK" TargetMode="External"/><Relationship Id="rId19" Type="http://schemas.openxmlformats.org/officeDocument/2006/relationships/hyperlink" Target="https://nlu.org.ua/" TargetMode="External"/><Relationship Id="rId31" Type="http://schemas.openxmlformats.org/officeDocument/2006/relationships/hyperlink" Target="https://nmv.pnu.edu.ua/wp-content/uploads/sites/118/2021/02/neformalna_osv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://www.rada.gov.ua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hyperlink" Target="https://nmv.pnu.edu.ua/wp-content/uploads/sites/118/2021/04/isinuvannia_nove2.pdf" TargetMode="External"/><Relationship Id="rId8" Type="http://schemas.openxmlformats.org/officeDocument/2006/relationships/hyperlink" Target="https://nmv.pnu.edu.ua/wp-content/uploads/sites/118/2021/04/isinuvannia_nove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7731-DD89-454D-8A76-CB1934A5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11229</Words>
  <Characters>6402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35</cp:revision>
  <cp:lastPrinted>2019-09-27T06:35:00Z</cp:lastPrinted>
  <dcterms:created xsi:type="dcterms:W3CDTF">2019-12-17T23:01:00Z</dcterms:created>
  <dcterms:modified xsi:type="dcterms:W3CDTF">2023-01-21T12:11:00Z</dcterms:modified>
</cp:coreProperties>
</file>